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E7" w:rsidRDefault="00201BE7" w:rsidP="00201BE7">
      <w:pPr>
        <w:pStyle w:val="ConsPlusNormal"/>
        <w:jc w:val="both"/>
      </w:pPr>
    </w:p>
    <w:p w:rsidR="00201BE7" w:rsidRDefault="00201BE7" w:rsidP="00201BE7">
      <w:pPr>
        <w:pStyle w:val="ConsPlusNormal"/>
        <w:jc w:val="right"/>
        <w:outlineLvl w:val="0"/>
      </w:pPr>
      <w:r>
        <w:t>Приложение 5</w:t>
      </w:r>
    </w:p>
    <w:p w:rsidR="00201BE7" w:rsidRDefault="00201BE7" w:rsidP="00201BE7">
      <w:pPr>
        <w:pStyle w:val="ConsPlusNormal"/>
        <w:jc w:val="right"/>
      </w:pPr>
      <w:r>
        <w:t>к Закону Забайкальского края</w:t>
      </w:r>
    </w:p>
    <w:p w:rsidR="00201BE7" w:rsidRDefault="00201BE7" w:rsidP="00201BE7">
      <w:pPr>
        <w:pStyle w:val="ConsPlusNormal"/>
        <w:jc w:val="right"/>
      </w:pPr>
      <w:r>
        <w:t>"О бюджете Забайкальского края на 2019 год</w:t>
      </w:r>
    </w:p>
    <w:p w:rsidR="00201BE7" w:rsidRDefault="00201BE7" w:rsidP="00201BE7">
      <w:pPr>
        <w:pStyle w:val="ConsPlusNormal"/>
        <w:jc w:val="right"/>
      </w:pPr>
      <w:r>
        <w:t>и плановый период 2020 и 2021 годов"</w:t>
      </w:r>
    </w:p>
    <w:p w:rsidR="00201BE7" w:rsidRDefault="00201BE7" w:rsidP="00201BE7">
      <w:pPr>
        <w:pStyle w:val="ConsPlusNormal"/>
        <w:jc w:val="both"/>
      </w:pPr>
    </w:p>
    <w:p w:rsidR="00201BE7" w:rsidRDefault="00201BE7" w:rsidP="00201BE7">
      <w:pPr>
        <w:pStyle w:val="ConsPlusTitle"/>
        <w:jc w:val="center"/>
      </w:pPr>
      <w:bookmarkStart w:id="0" w:name="P2407"/>
      <w:bookmarkEnd w:id="0"/>
      <w:r>
        <w:t>ИСТОЧНИКИ ФИНАНСИРОВАНИЯ ДЕФИЦИТА БЮДЖЕТА КРАЯ</w:t>
      </w:r>
    </w:p>
    <w:p w:rsidR="00201BE7" w:rsidRDefault="00201BE7" w:rsidP="00201BE7">
      <w:pPr>
        <w:pStyle w:val="ConsPlusTitle"/>
        <w:jc w:val="center"/>
      </w:pPr>
      <w:r>
        <w:t>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201BE7" w:rsidRDefault="00201BE7" w:rsidP="00201B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1BE7" w:rsidTr="000809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1BE7" w:rsidRDefault="00201BE7" w:rsidP="000809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1BE7" w:rsidRDefault="00201BE7" w:rsidP="0008091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201BE7" w:rsidRDefault="00201BE7" w:rsidP="00080911">
            <w:pPr>
              <w:pStyle w:val="ConsPlusNormal"/>
              <w:jc w:val="center"/>
            </w:pPr>
            <w:r>
              <w:rPr>
                <w:color w:val="392C69"/>
              </w:rPr>
              <w:t>от 06.06.2019 N 1729-ЗЗК)</w:t>
            </w:r>
          </w:p>
        </w:tc>
      </w:tr>
    </w:tbl>
    <w:p w:rsidR="00201BE7" w:rsidRDefault="00201BE7" w:rsidP="00201BE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5"/>
        <w:gridCol w:w="2524"/>
        <w:gridCol w:w="2494"/>
        <w:gridCol w:w="1384"/>
        <w:gridCol w:w="1384"/>
      </w:tblGrid>
      <w:tr w:rsidR="00201BE7" w:rsidTr="00080911">
        <w:tc>
          <w:tcPr>
            <w:tcW w:w="3789" w:type="dxa"/>
            <w:gridSpan w:val="2"/>
            <w:vAlign w:val="center"/>
          </w:tcPr>
          <w:p w:rsidR="00201BE7" w:rsidRDefault="00201BE7" w:rsidP="00080911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201BE7" w:rsidRDefault="00201BE7" w:rsidP="00080911">
            <w:pPr>
              <w:pStyle w:val="ConsPlusNormal"/>
              <w:jc w:val="center"/>
            </w:pPr>
            <w:r>
              <w:t>Наименование кода группы, подгруппы, статьи и вида источника финансирования дефицитов бюджетов</w:t>
            </w:r>
          </w:p>
        </w:tc>
        <w:tc>
          <w:tcPr>
            <w:tcW w:w="2768" w:type="dxa"/>
            <w:gridSpan w:val="2"/>
            <w:vAlign w:val="center"/>
          </w:tcPr>
          <w:p w:rsidR="00201BE7" w:rsidRDefault="00201BE7" w:rsidP="00080911">
            <w:pPr>
              <w:pStyle w:val="ConsPlusNormal"/>
              <w:jc w:val="center"/>
            </w:pPr>
            <w:r>
              <w:t>Сумма</w:t>
            </w:r>
          </w:p>
          <w:p w:rsidR="00201BE7" w:rsidRDefault="00201BE7" w:rsidP="0008091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201BE7" w:rsidTr="00080911">
        <w:tc>
          <w:tcPr>
            <w:tcW w:w="1265" w:type="dxa"/>
            <w:vAlign w:val="center"/>
          </w:tcPr>
          <w:p w:rsidR="00201BE7" w:rsidRDefault="00201BE7" w:rsidP="00080911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4" w:type="dxa"/>
            <w:vAlign w:val="center"/>
          </w:tcPr>
          <w:p w:rsidR="00201BE7" w:rsidRDefault="00201BE7" w:rsidP="00080911">
            <w:pPr>
              <w:pStyle w:val="ConsPlusNormal"/>
              <w:jc w:val="center"/>
            </w:pPr>
            <w: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2494" w:type="dxa"/>
            <w:vMerge/>
          </w:tcPr>
          <w:p w:rsidR="00201BE7" w:rsidRDefault="00201BE7" w:rsidP="00080911"/>
        </w:tc>
        <w:tc>
          <w:tcPr>
            <w:tcW w:w="1384" w:type="dxa"/>
            <w:vAlign w:val="center"/>
          </w:tcPr>
          <w:p w:rsidR="00201BE7" w:rsidRDefault="00201BE7" w:rsidP="0008091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4" w:type="dxa"/>
            <w:vAlign w:val="center"/>
          </w:tcPr>
          <w:p w:rsidR="00201BE7" w:rsidRDefault="00201BE7" w:rsidP="00080911">
            <w:pPr>
              <w:pStyle w:val="ConsPlusNormal"/>
              <w:jc w:val="center"/>
            </w:pPr>
            <w:r>
              <w:t>2021 год</w:t>
            </w:r>
          </w:p>
        </w:tc>
      </w:tr>
      <w:tr w:rsidR="00201BE7" w:rsidTr="00080911">
        <w:tc>
          <w:tcPr>
            <w:tcW w:w="1265" w:type="dxa"/>
            <w:vAlign w:val="center"/>
          </w:tcPr>
          <w:p w:rsidR="00201BE7" w:rsidRDefault="00201BE7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  <w:vAlign w:val="center"/>
          </w:tcPr>
          <w:p w:rsidR="00201BE7" w:rsidRDefault="00201BE7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4" w:type="dxa"/>
            <w:vAlign w:val="center"/>
          </w:tcPr>
          <w:p w:rsidR="00201BE7" w:rsidRDefault="00201BE7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  <w:vAlign w:val="center"/>
          </w:tcPr>
          <w:p w:rsidR="00201BE7" w:rsidRDefault="00201BE7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</w:pP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</w:pPr>
          </w:p>
        </w:tc>
        <w:tc>
          <w:tcPr>
            <w:tcW w:w="2494" w:type="dxa"/>
          </w:tcPr>
          <w:p w:rsidR="00201BE7" w:rsidRDefault="00201BE7" w:rsidP="00080911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</w:pP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</w:pPr>
          </w:p>
        </w:tc>
        <w:tc>
          <w:tcPr>
            <w:tcW w:w="2494" w:type="dxa"/>
          </w:tcPr>
          <w:p w:rsidR="00201BE7" w:rsidRDefault="00201BE7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</w:pP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</w:pP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1 260 688,7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13 752 769,4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630 374,8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13 752 769,4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 xml:space="preserve">Погашение кредитов, предоставленных </w:t>
            </w:r>
            <w:r>
              <w:lastRenderedPageBreak/>
              <w:t>кредитными организациями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-12 492 080,7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-12 492 080,7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-1 460 566,6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-2 921 133,0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-1 460 566,6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-2 921 133,0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3 600 000,0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3 400 000,0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3 600 000,0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-4 860 566,6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-6 521 133,0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 xml:space="preserve">Погашение бюджетами субъектов Российской Федерации кредитов от других бюджетов бюджетной системы Российской Федерации в валюте Российской </w:t>
            </w:r>
            <w:r>
              <w:lastRenderedPageBreak/>
              <w:t>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lastRenderedPageBreak/>
              <w:t>-4 860 566,6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-6 521 133,0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816 029,1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1 706 733,4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-60 091 294,0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-76 382 720,2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-60 091 294,0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-76 382 720,2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-60 091 294,0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-76 382 720,2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-60 091 294,0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-76 382 720,2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60 907 323,1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78 089 453,6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60 907 323,1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78 089 453,6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60 907 323,1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78 089 453,6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60 907 323,1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78 089 453,6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14 162,7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-46 289,1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01 06 01 00 00 0000 000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01 06 01 00 00 0000 630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 xml:space="preserve">Средства от продажи акций и иных форм участия в капитале, </w:t>
            </w:r>
            <w: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lastRenderedPageBreak/>
              <w:t>017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01 06 01 00 02 0000 630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субъектов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-145 000,0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-145 000,0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-49 500,0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-145 000,0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 xml:space="preserve"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</w:t>
            </w:r>
            <w:r>
              <w:lastRenderedPageBreak/>
              <w:t>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lastRenderedPageBreak/>
              <w:t>-49 500,0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-145 000,0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54 710,9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98 710,9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64 710,9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108 710,9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4 710,9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4 710,9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104 000,0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104 000,0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-10 000,0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-10 000,0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-10 000,0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-10 000,0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-10 000,0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-10 000,0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01 06 08 00 00 0000 000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Прочие бюджетные кредиты (ссуды), предоставленные внутри страны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8 951,8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01 06 08 00 00 0000 600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Возврат прочих бюджетных кредитов (ссуд), предоставленных внутри страны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8 951,8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0,0</w:t>
            </w:r>
          </w:p>
        </w:tc>
      </w:tr>
      <w:tr w:rsidR="00201BE7" w:rsidTr="00080911">
        <w:tc>
          <w:tcPr>
            <w:tcW w:w="1265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</w:tcPr>
          <w:p w:rsidR="00201BE7" w:rsidRDefault="00201BE7" w:rsidP="00080911">
            <w:pPr>
              <w:pStyle w:val="ConsPlusNormal"/>
              <w:jc w:val="center"/>
            </w:pPr>
            <w:r>
              <w:t>01 06 08 00 02 0000 640</w:t>
            </w:r>
          </w:p>
        </w:tc>
        <w:tc>
          <w:tcPr>
            <w:tcW w:w="2494" w:type="dxa"/>
            <w:vAlign w:val="center"/>
          </w:tcPr>
          <w:p w:rsidR="00201BE7" w:rsidRDefault="00201BE7" w:rsidP="00080911">
            <w:pPr>
              <w:pStyle w:val="ConsPlusNormal"/>
              <w:jc w:val="both"/>
            </w:pPr>
            <w: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8 951,8</w:t>
            </w:r>
          </w:p>
        </w:tc>
        <w:tc>
          <w:tcPr>
            <w:tcW w:w="1384" w:type="dxa"/>
            <w:vAlign w:val="bottom"/>
          </w:tcPr>
          <w:p w:rsidR="00201BE7" w:rsidRDefault="00201BE7" w:rsidP="00080911">
            <w:pPr>
              <w:pStyle w:val="ConsPlusNormal"/>
              <w:jc w:val="right"/>
            </w:pPr>
            <w:r>
              <w:t>0,0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6A"/>
    <w:rsid w:val="00201BE7"/>
    <w:rsid w:val="00405E27"/>
    <w:rsid w:val="00A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1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27C5A25CFF72799D33A27E86C2D95BBCBA6FAF17CD83387071B2EFBF2E1C685FDBF0C67B06B0A80FC6E0A440629057DBE983B86EC8777B1E73DE7A68MBh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2019-07-01T02:02:00Z</dcterms:created>
  <dcterms:modified xsi:type="dcterms:W3CDTF">2019-07-01T02:02:00Z</dcterms:modified>
</cp:coreProperties>
</file>