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2765"/>
        <w:gridCol w:w="6946"/>
      </w:tblGrid>
      <w:tr w:rsidR="004F0A08" w:rsidTr="000B6D8E">
        <w:trPr>
          <w:trHeight w:val="1132"/>
        </w:trPr>
        <w:tc>
          <w:tcPr>
            <w:tcW w:w="1596" w:type="dxa"/>
          </w:tcPr>
          <w:p w:rsidR="004F0A08" w:rsidRPr="004F0A08" w:rsidRDefault="004F0A08" w:rsidP="004F0A08">
            <w:pPr>
              <w:rPr>
                <w:rFonts w:ascii="Arial Narrow" w:hAnsi="Arial Narrow" w:cs="Times New Roman"/>
                <w:b/>
                <w:color w:val="C0000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F1141D">
              <w:rPr>
                <w:rFonts w:ascii="Arial" w:hAnsi="Arial" w:cs="Arial"/>
                <w:b/>
                <w:bCs/>
                <w:caps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5F0F9F2E" wp14:editId="755A88E4">
                  <wp:extent cx="742950" cy="7378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NS-logo_25.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4F0A08" w:rsidRPr="00F1771F" w:rsidRDefault="004F0A08" w:rsidP="004F0A08">
            <w:pPr>
              <w:jc w:val="center"/>
              <w:rPr>
                <w:rFonts w:ascii="Arial Narrow" w:hAnsi="Arial Narrow" w:cs="Times New Roman"/>
                <w:b/>
                <w:color w:val="C00000"/>
                <w:sz w:val="30"/>
                <w:szCs w:val="30"/>
                <w:lang w:val="en-US"/>
              </w:rPr>
            </w:pPr>
            <w:r w:rsidRPr="00F1771F">
              <w:rPr>
                <w:rFonts w:ascii="Arial Narrow" w:hAnsi="Arial Narrow" w:cs="Times New Roman"/>
                <w:b/>
                <w:color w:val="C00000"/>
                <w:sz w:val="30"/>
                <w:szCs w:val="30"/>
              </w:rPr>
              <w:t>Государственная регистрация</w:t>
            </w:r>
          </w:p>
          <w:p w:rsidR="004F0A08" w:rsidRPr="00F1771F" w:rsidRDefault="004F0A08" w:rsidP="004F0A08">
            <w:pPr>
              <w:jc w:val="center"/>
              <w:rPr>
                <w:rFonts w:ascii="Arial Narrow" w:hAnsi="Arial Narrow" w:cs="Times New Roman"/>
                <w:b/>
                <w:sz w:val="30"/>
                <w:szCs w:val="30"/>
              </w:rPr>
            </w:pPr>
            <w:r w:rsidRPr="00F1771F">
              <w:rPr>
                <w:rFonts w:ascii="Arial Narrow" w:hAnsi="Arial Narrow" w:cs="Times New Roman"/>
                <w:b/>
                <w:color w:val="C00000"/>
                <w:sz w:val="30"/>
                <w:szCs w:val="30"/>
              </w:rPr>
              <w:t>ИП (КФХ)</w:t>
            </w:r>
          </w:p>
          <w:p w:rsidR="004F0A08" w:rsidRDefault="004F0A08" w:rsidP="00F1141D">
            <w:pPr>
              <w:jc w:val="center"/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4F0A08" w:rsidRPr="004F0A08" w:rsidRDefault="004F0A08" w:rsidP="004F0A08">
            <w:pPr>
              <w:jc w:val="center"/>
              <w:rPr>
                <w:rFonts w:ascii="Arial Narrow" w:hAnsi="Arial Narrow" w:cs="Times New Roman"/>
                <w:i/>
                <w:color w:val="0070C0"/>
                <w:sz w:val="24"/>
                <w:szCs w:val="24"/>
              </w:rPr>
            </w:pPr>
            <w:r w:rsidRPr="004F0A08">
              <w:rPr>
                <w:rFonts w:ascii="Arial Narrow" w:hAnsi="Arial Narrow" w:cs="Times New Roman"/>
                <w:i/>
                <w:color w:val="0070C0"/>
                <w:sz w:val="24"/>
                <w:szCs w:val="24"/>
              </w:rPr>
              <w:t>Перед подачей документов на государственную регистрацию рекомендуем записаться на обучение для начинающих предпринимателей, которое проводится в Вашей налоговой инспекции каждый четверг с 14.00 до 15.00</w:t>
            </w:r>
          </w:p>
        </w:tc>
      </w:tr>
    </w:tbl>
    <w:p w:rsidR="000B6D8E" w:rsidRPr="000B6D8E" w:rsidRDefault="000B6D8E" w:rsidP="004F0A08">
      <w:pPr>
        <w:spacing w:after="0"/>
        <w:rPr>
          <w:rFonts w:ascii="Arial Narrow" w:hAnsi="Arial Narrow" w:cs="Times New Roman"/>
          <w:b/>
          <w:color w:val="404040" w:themeColor="text1" w:themeTint="BF"/>
          <w:sz w:val="16"/>
          <w:szCs w:val="16"/>
        </w:rPr>
      </w:pPr>
    </w:p>
    <w:p w:rsidR="00E9129D" w:rsidRPr="00F1141D" w:rsidRDefault="00E9129D" w:rsidP="004F0A08">
      <w:pPr>
        <w:spacing w:after="0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F1141D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Перечень документов</w:t>
      </w: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, необходимых для государственной регистрации:</w:t>
      </w:r>
    </w:p>
    <w:p w:rsidR="00E9129D" w:rsidRPr="004F0A08" w:rsidRDefault="00E9129D" w:rsidP="00A1308D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- </w:t>
      </w:r>
      <w:r w:rsidR="00F1141D"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з</w:t>
      </w: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аявление формы Р21001 (Р21002 – в случае регистрации в качестве главы КФХ)</w:t>
      </w:r>
      <w:r w:rsidR="000F54FA">
        <w:rPr>
          <w:rFonts w:ascii="Arial Narrow" w:hAnsi="Arial Narrow" w:cs="Times New Roman"/>
          <w:color w:val="404040" w:themeColor="text1" w:themeTint="BF"/>
          <w:sz w:val="26"/>
          <w:szCs w:val="26"/>
        </w:rPr>
        <w:t>*</w:t>
      </w: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;</w:t>
      </w:r>
    </w:p>
    <w:p w:rsidR="00E9129D" w:rsidRPr="00F1141D" w:rsidRDefault="00E9129D" w:rsidP="004F0A08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- копия паспорта (все страницы, включая пустые листы);</w:t>
      </w:r>
    </w:p>
    <w:p w:rsidR="00E9129D" w:rsidRPr="00F1141D" w:rsidRDefault="00E9129D" w:rsidP="004F0A08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- государственная пошлина – 800 рублей </w:t>
      </w:r>
      <w:r w:rsidR="00F1141D"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(только </w:t>
      </w: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в случае представления документов </w:t>
      </w:r>
      <w:r w:rsidR="00F1141D"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в регистрирующий орган</w:t>
      </w:r>
      <w:r w:rsidR="00A71F4C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– способ 1,2,3</w:t>
      </w:r>
      <w:r w:rsidR="00F1141D"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)</w:t>
      </w:r>
    </w:p>
    <w:p w:rsidR="00877C3E" w:rsidRPr="00A1308D" w:rsidRDefault="000F54FA" w:rsidP="00877C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 Narrow" w:eastAsia="Arial Unicode MS" w:hAnsi="Arial Narrow" w:cs="Arial Unicode MS"/>
          <w:i/>
          <w:sz w:val="20"/>
          <w:szCs w:val="20"/>
        </w:rPr>
      </w:pPr>
      <w:r>
        <w:rPr>
          <w:rFonts w:ascii="Arial Narrow" w:eastAsia="Arial Unicode MS" w:hAnsi="Arial Narrow" w:cs="Arial Unicode MS"/>
          <w:i/>
          <w:sz w:val="20"/>
          <w:szCs w:val="20"/>
        </w:rPr>
        <w:t>*</w:t>
      </w:r>
      <w:r w:rsidR="00877C3E" w:rsidRPr="00A1308D">
        <w:rPr>
          <w:rFonts w:ascii="Arial Narrow" w:eastAsia="Arial Unicode MS" w:hAnsi="Arial Narrow" w:cs="Arial Unicode MS"/>
          <w:i/>
          <w:sz w:val="20"/>
          <w:szCs w:val="20"/>
        </w:rPr>
        <w:t>Форма заявления, уведомления или сообщения (далее - заявление) заполняется с использованием программного обеспечения либо вручную.</w:t>
      </w:r>
      <w:r w:rsidR="00877C3E">
        <w:rPr>
          <w:rFonts w:ascii="Arial Narrow" w:eastAsia="Arial Unicode MS" w:hAnsi="Arial Narrow" w:cs="Arial Unicode MS"/>
          <w:i/>
          <w:sz w:val="20"/>
          <w:szCs w:val="20"/>
        </w:rPr>
        <w:t xml:space="preserve"> </w:t>
      </w:r>
      <w:r w:rsidR="00877C3E" w:rsidRPr="00A1308D">
        <w:rPr>
          <w:rFonts w:ascii="Arial Narrow" w:eastAsia="Arial Unicode MS" w:hAnsi="Arial Narrow" w:cs="Arial Unicode MS"/>
          <w:i/>
          <w:sz w:val="20"/>
          <w:szCs w:val="20"/>
        </w:rPr>
        <w:t>Печать знаков при использовании для заполнения формы заявления программного обеспечения должна выполняться заглавными буквами шрифтом Courier New высотой 18 пунктов.</w:t>
      </w:r>
      <w:r w:rsidR="00877C3E">
        <w:rPr>
          <w:rFonts w:ascii="Arial Narrow" w:eastAsia="Arial Unicode MS" w:hAnsi="Arial Narrow" w:cs="Arial Unicode MS"/>
          <w:i/>
          <w:sz w:val="20"/>
          <w:szCs w:val="20"/>
        </w:rPr>
        <w:t xml:space="preserve"> </w:t>
      </w:r>
      <w:r w:rsidR="00877C3E" w:rsidRPr="00A1308D">
        <w:rPr>
          <w:rFonts w:ascii="Arial Narrow" w:eastAsia="Arial Unicode MS" w:hAnsi="Arial Narrow" w:cs="Arial Unicode MS"/>
          <w:i/>
          <w:sz w:val="20"/>
          <w:szCs w:val="20"/>
        </w:rPr>
        <w:t xml:space="preserve">Заполнение формы заявления вручную осуществляется чернилами черного цвета заглавными печатными буквами, цифрами и символами Общие требования к оформлению представляемых документов </w:t>
      </w:r>
      <w:r w:rsidR="00877C3E">
        <w:rPr>
          <w:rFonts w:ascii="Arial Narrow" w:eastAsia="Arial Unicode MS" w:hAnsi="Arial Narrow" w:cs="Arial Unicode MS"/>
          <w:i/>
          <w:sz w:val="20"/>
          <w:szCs w:val="20"/>
        </w:rPr>
        <w:t>приведены в п</w:t>
      </w:r>
      <w:r w:rsidR="00877C3E" w:rsidRPr="00A1308D">
        <w:rPr>
          <w:rFonts w:ascii="Arial Narrow" w:eastAsia="Arial Unicode MS" w:hAnsi="Arial Narrow" w:cs="Arial Unicode MS"/>
          <w:i/>
          <w:sz w:val="20"/>
          <w:szCs w:val="20"/>
        </w:rPr>
        <w:t>риказ</w:t>
      </w:r>
      <w:r w:rsidR="00877C3E">
        <w:rPr>
          <w:rFonts w:ascii="Arial Narrow" w:eastAsia="Arial Unicode MS" w:hAnsi="Arial Narrow" w:cs="Arial Unicode MS"/>
          <w:i/>
          <w:sz w:val="20"/>
          <w:szCs w:val="20"/>
        </w:rPr>
        <w:t>е</w:t>
      </w:r>
      <w:r w:rsidR="00877C3E" w:rsidRPr="00A1308D">
        <w:rPr>
          <w:rFonts w:ascii="Arial Narrow" w:eastAsia="Arial Unicode MS" w:hAnsi="Arial Narrow" w:cs="Arial Unicode MS"/>
          <w:i/>
          <w:sz w:val="20"/>
          <w:szCs w:val="20"/>
        </w:rPr>
        <w:t xml:space="preserve"> ФНС</w:t>
      </w:r>
      <w:r w:rsidR="00877C3E">
        <w:rPr>
          <w:rFonts w:ascii="Arial Narrow" w:eastAsia="Arial Unicode MS" w:hAnsi="Arial Narrow" w:cs="Arial Unicode MS"/>
          <w:i/>
          <w:sz w:val="20"/>
          <w:szCs w:val="20"/>
        </w:rPr>
        <w:t xml:space="preserve"> России</w:t>
      </w:r>
      <w:r w:rsidR="00877C3E" w:rsidRPr="00A1308D">
        <w:rPr>
          <w:rFonts w:ascii="Arial Narrow" w:eastAsia="Arial Unicode MS" w:hAnsi="Arial Narrow" w:cs="Arial Unicode MS"/>
          <w:i/>
          <w:sz w:val="20"/>
          <w:szCs w:val="20"/>
        </w:rPr>
        <w:t xml:space="preserve"> от 25 .01. 2012 г. </w:t>
      </w:r>
      <w:r w:rsidR="00877C3E">
        <w:rPr>
          <w:rFonts w:ascii="Arial Narrow" w:eastAsia="Arial Unicode MS" w:hAnsi="Arial Narrow" w:cs="Arial Unicode MS"/>
          <w:i/>
          <w:sz w:val="20"/>
          <w:szCs w:val="20"/>
        </w:rPr>
        <w:t>N ММВ-7-6/25@</w:t>
      </w:r>
      <w:r w:rsidR="00877C3E" w:rsidRPr="00A1308D">
        <w:rPr>
          <w:rFonts w:ascii="Arial Narrow" w:eastAsia="Arial Unicode MS" w:hAnsi="Arial Narrow" w:cs="Arial Unicode MS"/>
          <w:i/>
          <w:sz w:val="20"/>
          <w:szCs w:val="20"/>
        </w:rPr>
        <w:t>.</w:t>
      </w:r>
    </w:p>
    <w:p w:rsidR="002B39EE" w:rsidRPr="00E90EA3" w:rsidRDefault="002B39EE" w:rsidP="004F0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 Narrow" w:eastAsia="Arial Unicode MS" w:hAnsi="Arial Narrow" w:cs="Arial Unicode MS"/>
        </w:rPr>
      </w:pPr>
    </w:p>
    <w:p w:rsidR="00A71F4C" w:rsidRDefault="00E9129D" w:rsidP="000B6D8E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F1141D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Способы предоставления документов</w:t>
      </w:r>
      <w:r w:rsidR="00A71F4C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 xml:space="preserve"> </w:t>
      </w:r>
      <w:r w:rsidR="00A71F4C"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для государственной регистрации:</w:t>
      </w:r>
    </w:p>
    <w:p w:rsidR="004A6B52" w:rsidRPr="004A6B52" w:rsidRDefault="004A6B52" w:rsidP="000B6D8E">
      <w:pPr>
        <w:spacing w:after="0" w:line="240" w:lineRule="auto"/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С оплатой госпошлины</w:t>
      </w:r>
    </w:p>
    <w:p w:rsidR="00A71F4C" w:rsidRPr="004A6B52" w:rsidRDefault="00A71F4C" w:rsidP="00877C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н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епосредственно в регистрирующий орган (РО - Межрайонная ИФНС России № 2 по г. Чите) с оплатой госпошлины, </w:t>
      </w:r>
      <w:r w:rsidR="00C027F8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при личном посещении заверение подписи 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нотариально не требуется. Получение документов непосредственно в РО, либо по почте.</w:t>
      </w:r>
    </w:p>
    <w:p w:rsidR="00A71F4C" w:rsidRPr="004A6B52" w:rsidRDefault="00A71F4C" w:rsidP="00877C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/>
          <w:color w:val="404040" w:themeColor="text1" w:themeTint="BF"/>
          <w:sz w:val="26"/>
          <w:szCs w:val="26"/>
        </w:rPr>
        <w:t>п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очтовым отправлением, с описью вложения и оплатой госпошлины, подпись заявителя должна быть удостоверена нотариально. Получение  документов непосредственно в РО, либо по почте.</w:t>
      </w:r>
    </w:p>
    <w:p w:rsidR="00F1141D" w:rsidRPr="000B6D8E" w:rsidRDefault="00A71F4C" w:rsidP="00877C3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color w:val="404040" w:themeColor="text1" w:themeTint="BF"/>
          <w:sz w:val="26"/>
          <w:szCs w:val="26"/>
        </w:rPr>
      </w:pPr>
      <w:r w:rsidRPr="004A6B52">
        <w:rPr>
          <w:rFonts w:ascii="Arial Narrow" w:hAnsi="Arial Narrow"/>
          <w:color w:val="404040" w:themeColor="text1" w:themeTint="BF"/>
          <w:sz w:val="26"/>
          <w:szCs w:val="26"/>
        </w:rPr>
        <w:t>з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аявка на государственную регистрацию с оплатой госпошлины через 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сервис «</w:t>
      </w:r>
      <w:r w:rsidR="00B60A9A" w:rsidRPr="00F80AA8">
        <w:rPr>
          <w:rFonts w:ascii="Arial Narrow" w:hAnsi="Arial Narrow"/>
          <w:color w:val="404040" w:themeColor="text1" w:themeTint="BF"/>
          <w:sz w:val="26"/>
          <w:szCs w:val="26"/>
          <w:shd w:val="clear" w:color="auto" w:fill="FFFFFF"/>
        </w:rPr>
        <w:t>Государственная регистрация юридических лиц и индивидуальных предпринимателей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» 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сайт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а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ФНС России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  <w:lang w:val="en-US"/>
        </w:rPr>
        <w:t>www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  <w:lang w:val="en-US"/>
        </w:rPr>
        <w:t>nalog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  <w:lang w:val="en-US"/>
        </w:rPr>
        <w:t>ru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З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аверение п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одписи нотариально не требуется, </w:t>
      </w:r>
      <w:r w:rsidR="00E71363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электронно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-цифровая</w:t>
      </w:r>
      <w:r w:rsidR="00E71363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подпись</w:t>
      </w:r>
      <w:r w:rsidR="00E71363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(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ЭЦП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)</w:t>
      </w:r>
      <w:r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не требуется.</w:t>
      </w:r>
      <w:r w:rsidR="00F1141D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Получение документов непосредственно в РО.</w:t>
      </w:r>
    </w:p>
    <w:p w:rsidR="000B6D8E" w:rsidRPr="000B6D8E" w:rsidRDefault="000B6D8E" w:rsidP="000B6D8E">
      <w:pPr>
        <w:pStyle w:val="a3"/>
        <w:spacing w:after="0" w:line="240" w:lineRule="auto"/>
        <w:ind w:left="0"/>
        <w:jc w:val="both"/>
        <w:rPr>
          <w:rFonts w:ascii="Arial Narrow" w:hAnsi="Arial Narrow"/>
          <w:color w:val="404040" w:themeColor="text1" w:themeTint="BF"/>
          <w:sz w:val="16"/>
          <w:szCs w:val="16"/>
        </w:rPr>
      </w:pPr>
    </w:p>
    <w:tbl>
      <w:tblPr>
        <w:tblW w:w="1093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8505"/>
      </w:tblGrid>
      <w:tr w:rsidR="00CA76B7" w:rsidRPr="007558B9" w:rsidTr="00F029E7">
        <w:trPr>
          <w:trHeight w:val="1872"/>
        </w:trPr>
        <w:tc>
          <w:tcPr>
            <w:tcW w:w="2427" w:type="dxa"/>
            <w:shd w:val="clear" w:color="auto" w:fill="auto"/>
            <w:noWrap/>
            <w:hideMark/>
          </w:tcPr>
          <w:p w:rsidR="00CA76B7" w:rsidRPr="00A1308D" w:rsidRDefault="00B60A9A" w:rsidP="00F0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1CBA805D" wp14:editId="39DB444E">
                  <wp:extent cx="1314450" cy="1247775"/>
                  <wp:effectExtent l="0" t="0" r="0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 xml:space="preserve">УФК по Забайкальскому краю (Межрайонная ИФНС России № 2 по г.Чите)    </w:t>
            </w:r>
          </w:p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ИНН получателя 7536057435 КПП 753601001</w:t>
            </w:r>
          </w:p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номер счета получателя 40101810750042010001</w:t>
            </w:r>
          </w:p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БИК 047601001 банк Отделение Чита</w:t>
            </w:r>
          </w:p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ОКТМО 76701000</w:t>
            </w:r>
          </w:p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КБК 18210807010011000110</w:t>
            </w:r>
          </w:p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  <w:p w:rsidR="00CA76B7" w:rsidRPr="00F029E7" w:rsidRDefault="00CA76B7" w:rsidP="00A130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статус ФЛ 13, ИП 09</w:t>
            </w:r>
          </w:p>
          <w:p w:rsidR="00CA76B7" w:rsidRPr="007558B9" w:rsidRDefault="00CA76B7" w:rsidP="00A13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029E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ИНН и ФИО налогоплательщика</w:t>
            </w:r>
          </w:p>
        </w:tc>
      </w:tr>
    </w:tbl>
    <w:p w:rsidR="000B6D8E" w:rsidRPr="000B6D8E" w:rsidRDefault="000B6D8E" w:rsidP="000B6D8E">
      <w:pPr>
        <w:spacing w:after="0" w:line="240" w:lineRule="auto"/>
        <w:rPr>
          <w:rFonts w:ascii="Arial Narrow" w:hAnsi="Arial Narrow" w:cs="Times New Roman"/>
          <w:b/>
          <w:color w:val="404040" w:themeColor="text1" w:themeTint="BF"/>
          <w:sz w:val="16"/>
          <w:szCs w:val="16"/>
        </w:rPr>
      </w:pPr>
    </w:p>
    <w:p w:rsidR="00F1141D" w:rsidRDefault="004A6B52" w:rsidP="000B6D8E">
      <w:pPr>
        <w:spacing w:after="0" w:line="240" w:lineRule="auto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Б</w:t>
      </w:r>
      <w:r w:rsidR="00F1141D" w:rsidRPr="00F1141D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ез оплаты госпошлины</w:t>
      </w:r>
    </w:p>
    <w:p w:rsidR="00E71363" w:rsidRDefault="00F1141D" w:rsidP="000B6D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с электронно-цифровой подписью (ЭЦП) заявителя через сервис </w:t>
      </w:r>
      <w:r w:rsidR="000B6D8E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«</w:t>
      </w:r>
      <w:r w:rsidR="000B6D8E" w:rsidRPr="00F80AA8">
        <w:rPr>
          <w:rFonts w:ascii="Arial Narrow" w:hAnsi="Arial Narrow"/>
          <w:color w:val="404040" w:themeColor="text1" w:themeTint="BF"/>
          <w:sz w:val="26"/>
          <w:szCs w:val="26"/>
          <w:shd w:val="clear" w:color="auto" w:fill="FFFFFF"/>
        </w:rPr>
        <w:t>Государственная регистрация юридических лиц и индивидуальных предпринимателей</w:t>
      </w:r>
      <w:r w:rsidR="000B6D8E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>»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="00E71363" w:rsidRPr="004A6B52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сайта ФНС России </w:t>
      </w:r>
      <w:hyperlink r:id="rId8" w:history="1">
        <w:r w:rsidR="00E71363" w:rsidRPr="000B6D8E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  <w:lang w:val="en-US"/>
          </w:rPr>
          <w:t>www</w:t>
        </w:r>
        <w:r w:rsidR="00E71363" w:rsidRPr="000B6D8E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</w:rPr>
          <w:t>.</w:t>
        </w:r>
        <w:r w:rsidR="00E71363" w:rsidRPr="000B6D8E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  <w:lang w:val="en-US"/>
          </w:rPr>
          <w:t>nalog</w:t>
        </w:r>
        <w:r w:rsidR="00E71363" w:rsidRPr="000B6D8E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</w:rPr>
          <w:t>.</w:t>
        </w:r>
        <w:r w:rsidR="00E71363" w:rsidRPr="000B6D8E">
          <w:rPr>
            <w:rStyle w:val="a4"/>
            <w:rFonts w:ascii="Arial Narrow" w:hAnsi="Arial Narrow" w:cs="Times New Roman"/>
            <w:color w:val="595959" w:themeColor="text1" w:themeTint="A6"/>
            <w:sz w:val="26"/>
            <w:szCs w:val="26"/>
            <w:u w:val="none"/>
            <w:lang w:val="en-US"/>
          </w:rPr>
          <w:t>ru</w:t>
        </w:r>
      </w:hyperlink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или Е</w:t>
      </w: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диный портал государственных и муниципальных услуг. Документы, подтверждающие государственную регистрацию,  поступают на адрес электронной почты заявителя.</w:t>
      </w:r>
    </w:p>
    <w:p w:rsidR="00E71363" w:rsidRDefault="00F1141D" w:rsidP="000B6D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через Многофункциональный центр (МФЦ), 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при </w:t>
      </w:r>
      <w:r w:rsidR="0005787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личном </w:t>
      </w:r>
      <w:r w:rsid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обращении </w:t>
      </w: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заверение подписи нотариально не требуется. Документы, подтверждающие государственную регистрацию, поступают на электронную почту заявителя.</w:t>
      </w:r>
    </w:p>
    <w:p w:rsidR="00F1141D" w:rsidRDefault="00E71363" w:rsidP="000B6D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>ч</w:t>
      </w:r>
      <w:r w:rsidR="00F1141D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ерез нотариуса, подпись заявителя должна быть нотариально удостоверена. Получение документов, подтверждающих государственную регистрацию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, </w:t>
      </w:r>
      <w:r w:rsidR="00F1141D"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у нотариуса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>.</w:t>
      </w:r>
    </w:p>
    <w:p w:rsidR="00E71363" w:rsidRDefault="00E71363" w:rsidP="000B6D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>через ПАО «Сбербанк», «Центр развития бизнеса» (г. Чита, ул. Богомягкова, 23)</w:t>
      </w:r>
      <w:r w:rsidR="000705B0">
        <w:rPr>
          <w:rFonts w:ascii="Arial Narrow" w:hAnsi="Arial Narrow" w:cs="Times New Roman"/>
          <w:color w:val="404040" w:themeColor="text1" w:themeTint="BF"/>
          <w:sz w:val="26"/>
          <w:szCs w:val="26"/>
        </w:rPr>
        <w:t>,</w:t>
      </w:r>
      <w:r w:rsidR="000705B0" w:rsidRPr="000705B0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</w:t>
      </w:r>
      <w:r w:rsidR="000705B0">
        <w:rPr>
          <w:rFonts w:ascii="Arial Narrow" w:hAnsi="Arial Narrow" w:cs="Times New Roman"/>
          <w:color w:val="404040" w:themeColor="text1" w:themeTint="BF"/>
          <w:sz w:val="26"/>
          <w:szCs w:val="26"/>
        </w:rPr>
        <w:t>телефон для справок +7-964-474-54-45.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При</w:t>
      </w:r>
      <w:r w:rsidR="0005787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личном</w:t>
      </w:r>
      <w:r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обращении </w:t>
      </w:r>
      <w:r w:rsidRPr="00E71363">
        <w:rPr>
          <w:rFonts w:ascii="Arial Narrow" w:hAnsi="Arial Narrow" w:cs="Times New Roman"/>
          <w:color w:val="404040" w:themeColor="text1" w:themeTint="BF"/>
          <w:sz w:val="26"/>
          <w:szCs w:val="26"/>
        </w:rPr>
        <w:t>заверение подписи нотариально не требуется. Документы, подтверждающие государственную регистрацию, поступают на электронную почту заявителя.</w:t>
      </w:r>
    </w:p>
    <w:p w:rsidR="0005787A" w:rsidRDefault="0005787A" w:rsidP="000B6D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</w:pPr>
    </w:p>
    <w:p w:rsidR="000B6D8E" w:rsidRDefault="00F1141D" w:rsidP="000B6D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404040" w:themeColor="text1" w:themeTint="BF"/>
          <w:sz w:val="26"/>
          <w:szCs w:val="26"/>
        </w:rPr>
      </w:pPr>
      <w:r w:rsidRPr="0005787A">
        <w:rPr>
          <w:rFonts w:ascii="Arial Narrow" w:hAnsi="Arial Narrow" w:cs="Times New Roman"/>
          <w:b/>
          <w:color w:val="404040" w:themeColor="text1" w:themeTint="BF"/>
          <w:sz w:val="26"/>
          <w:szCs w:val="26"/>
        </w:rPr>
        <w:t>Сроки государственной регистрации</w:t>
      </w:r>
      <w:r w:rsidRPr="0005787A">
        <w:rPr>
          <w:rFonts w:ascii="Arial Narrow" w:hAnsi="Arial Narrow" w:cs="Times New Roman"/>
          <w:color w:val="404040" w:themeColor="text1" w:themeTint="BF"/>
          <w:sz w:val="26"/>
          <w:szCs w:val="26"/>
        </w:rPr>
        <w:t xml:space="preserve"> – 3 рабочих дня с момента поступления документов в регистрирующий орган. </w:t>
      </w:r>
      <w:r w:rsidRPr="00F1141D">
        <w:rPr>
          <w:rFonts w:ascii="Arial Narrow" w:hAnsi="Arial Narrow" w:cs="Times New Roman"/>
          <w:color w:val="404040" w:themeColor="text1" w:themeTint="BF"/>
          <w:sz w:val="26"/>
          <w:szCs w:val="26"/>
        </w:rPr>
        <w:t>После регистрации информация о Вас направляется в режиме «Одного окна» во все внебюджетные фонды.</w:t>
      </w:r>
    </w:p>
    <w:p w:rsidR="003A4894" w:rsidRDefault="003A4894" w:rsidP="000B6D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  <w:color w:val="0070C0"/>
          <w:sz w:val="24"/>
          <w:szCs w:val="24"/>
        </w:rPr>
      </w:pPr>
      <w:r w:rsidRPr="00CD1662">
        <w:rPr>
          <w:rFonts w:ascii="Arial Narrow" w:hAnsi="Arial Narrow" w:cs="Times New Roman"/>
          <w:b/>
          <w:i/>
          <w:color w:val="0070C0"/>
          <w:sz w:val="24"/>
          <w:szCs w:val="24"/>
        </w:rPr>
        <w:t>Телефоны для справок:</w:t>
      </w:r>
    </w:p>
    <w:p w:rsidR="003A4894" w:rsidRPr="00CD1662" w:rsidRDefault="003A4894" w:rsidP="000B6D8E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i/>
          <w:color w:val="0070C0"/>
          <w:sz w:val="24"/>
          <w:szCs w:val="24"/>
        </w:rPr>
      </w:pPr>
      <w:r w:rsidRPr="00CD1662">
        <w:rPr>
          <w:rFonts w:ascii="Arial Narrow" w:hAnsi="Arial Narrow" w:cs="Times New Roman"/>
          <w:b/>
          <w:i/>
          <w:color w:val="0070C0"/>
          <w:sz w:val="24"/>
          <w:szCs w:val="24"/>
        </w:rPr>
        <w:t>8 (3022) 35-59-11, 35-97-24, 35-9</w:t>
      </w:r>
      <w:r w:rsidR="00D841CA">
        <w:rPr>
          <w:rFonts w:ascii="Arial Narrow" w:hAnsi="Arial Narrow" w:cs="Times New Roman"/>
          <w:b/>
          <w:i/>
          <w:color w:val="0070C0"/>
          <w:sz w:val="24"/>
          <w:szCs w:val="24"/>
        </w:rPr>
        <w:t>7-05 отдел регистрации ЮЛ и ИП</w:t>
      </w:r>
    </w:p>
    <w:p w:rsidR="002B39EE" w:rsidRPr="00CA76B7" w:rsidRDefault="002B39E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2B39EE" w:rsidRPr="00CA76B7" w:rsidRDefault="002B39E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0B6D8E" w:rsidRDefault="000B6D8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0B6D8E" w:rsidRDefault="000B6D8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0B6D8E" w:rsidRDefault="000B6D8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0B6D8E" w:rsidRDefault="000B6D8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0B6D8E" w:rsidRDefault="000B6D8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0B6D8E" w:rsidRDefault="000B6D8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0B6D8E" w:rsidRDefault="000B6D8E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F1141D" w:rsidRDefault="00CE7037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  <w:r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Необходимо своевременно принять решение о в</w:t>
      </w:r>
      <w:r w:rsidR="00F1141D"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ыбор</w:t>
      </w:r>
      <w:r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е</w:t>
      </w:r>
      <w:r w:rsidR="00F1141D"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 xml:space="preserve"> системы налогообложения</w:t>
      </w:r>
      <w:r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 xml:space="preserve"> и представить заявление в налоговый орган:</w:t>
      </w:r>
    </w:p>
    <w:p w:rsidR="00CE7037" w:rsidRDefault="00CE7037" w:rsidP="00EF7EE0">
      <w:pPr>
        <w:spacing w:after="0" w:line="240" w:lineRule="auto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Упрощенная система налогообложения (УСН)</w:t>
      </w:r>
    </w:p>
    <w:p w:rsidR="00F1141D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>
        <w:rPr>
          <w:rFonts w:ascii="Arial Narrow" w:hAnsi="Arial Narrow" w:cs="Times New Roman"/>
          <w:color w:val="404040" w:themeColor="text1" w:themeTint="BF"/>
          <w:sz w:val="32"/>
          <w:szCs w:val="32"/>
        </w:rPr>
        <w:t>н</w:t>
      </w:r>
      <w:r w:rsidR="00F1141D"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е позднее 30 календарных дней с даты постановки на учёт</w:t>
      </w:r>
    </w:p>
    <w:p w:rsidR="00CE7037" w:rsidRPr="00EF7EE0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Патентная система налогообложение (ПСН)</w:t>
      </w:r>
    </w:p>
    <w:p w:rsidR="00F1141D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>
        <w:rPr>
          <w:rFonts w:ascii="Arial Narrow" w:hAnsi="Arial Narrow" w:cs="Times New Roman"/>
          <w:color w:val="404040" w:themeColor="text1" w:themeTint="BF"/>
          <w:sz w:val="32"/>
          <w:szCs w:val="32"/>
        </w:rPr>
        <w:t>н</w:t>
      </w:r>
      <w:r w:rsidR="00F1141D"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е позднее чем за 10 дней до начала применения патентной системы налогообложения.</w:t>
      </w:r>
    </w:p>
    <w:p w:rsidR="00CE7037" w:rsidRPr="00EF7EE0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</w:p>
    <w:p w:rsidR="00CE7037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Единый налог на вменённый доход (ЕНВД)</w:t>
      </w: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 xml:space="preserve"> </w:t>
      </w:r>
      <w:r w:rsidR="000B6D8E" w:rsidRPr="000B6D8E">
        <w:rPr>
          <w:rFonts w:ascii="Arial Narrow" w:hAnsi="Arial Narrow" w:cs="Times New Roman"/>
          <w:color w:val="FF0000"/>
          <w:sz w:val="32"/>
          <w:szCs w:val="32"/>
        </w:rPr>
        <w:t>– отменяется с 01.01.2021</w:t>
      </w: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в течение 5 дней с даты осуществления деятельности</w:t>
      </w:r>
    </w:p>
    <w:p w:rsidR="00CE7037" w:rsidRDefault="00CE7037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</w:p>
    <w:p w:rsidR="00CE7037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Единый сельскохозяйственный налог (ЕСХН)</w:t>
      </w: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 xml:space="preserve"> </w:t>
      </w:r>
    </w:p>
    <w:p w:rsidR="00F1141D" w:rsidRPr="002B39EE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не позднее 30 календарных дней с даты постановки на учёт в налоговом органе</w:t>
      </w:r>
    </w:p>
    <w:p w:rsidR="002B39EE" w:rsidRPr="002B39EE" w:rsidRDefault="002B39EE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b/>
          <w:color w:val="404040" w:themeColor="text1" w:themeTint="BF"/>
          <w:sz w:val="32"/>
          <w:szCs w:val="32"/>
        </w:rPr>
        <w:t>Общая система налогообложения</w:t>
      </w:r>
    </w:p>
    <w:p w:rsidR="00F1141D" w:rsidRPr="00EF7EE0" w:rsidRDefault="00F1141D" w:rsidP="00CE7037">
      <w:pPr>
        <w:spacing w:after="0"/>
        <w:ind w:left="284" w:firstLine="567"/>
        <w:jc w:val="center"/>
        <w:rPr>
          <w:rFonts w:ascii="Arial Narrow" w:hAnsi="Arial Narrow" w:cs="Times New Roman"/>
          <w:color w:val="404040" w:themeColor="text1" w:themeTint="BF"/>
          <w:sz w:val="32"/>
          <w:szCs w:val="32"/>
        </w:rPr>
      </w:pP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если не выбрана какая</w:t>
      </w:r>
      <w:r w:rsidR="00CE7037">
        <w:rPr>
          <w:rFonts w:ascii="Arial Narrow" w:hAnsi="Arial Narrow" w:cs="Times New Roman"/>
          <w:color w:val="404040" w:themeColor="text1" w:themeTint="BF"/>
          <w:sz w:val="32"/>
          <w:szCs w:val="32"/>
        </w:rPr>
        <w:t>-</w:t>
      </w:r>
      <w:r w:rsidRPr="00EF7EE0">
        <w:rPr>
          <w:rFonts w:ascii="Arial Narrow" w:hAnsi="Arial Narrow" w:cs="Times New Roman"/>
          <w:color w:val="404040" w:themeColor="text1" w:themeTint="BF"/>
          <w:sz w:val="32"/>
          <w:szCs w:val="32"/>
        </w:rPr>
        <w:t>либо другая система налогообложения</w:t>
      </w:r>
    </w:p>
    <w:sectPr w:rsidR="00F1141D" w:rsidRPr="00EF7EE0" w:rsidSect="000B6D8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049"/>
    <w:multiLevelType w:val="hybridMultilevel"/>
    <w:tmpl w:val="7AAE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92"/>
    <w:rsid w:val="00043CB6"/>
    <w:rsid w:val="0005787A"/>
    <w:rsid w:val="000705B0"/>
    <w:rsid w:val="000B6D8E"/>
    <w:rsid w:val="000F54FA"/>
    <w:rsid w:val="002B39EE"/>
    <w:rsid w:val="003A4894"/>
    <w:rsid w:val="00412D14"/>
    <w:rsid w:val="004A6B52"/>
    <w:rsid w:val="004D7130"/>
    <w:rsid w:val="004F0A08"/>
    <w:rsid w:val="0050338A"/>
    <w:rsid w:val="00507E92"/>
    <w:rsid w:val="00687CFC"/>
    <w:rsid w:val="00877C3E"/>
    <w:rsid w:val="0088028B"/>
    <w:rsid w:val="00A1308D"/>
    <w:rsid w:val="00A45C85"/>
    <w:rsid w:val="00A71F4C"/>
    <w:rsid w:val="00B60A9A"/>
    <w:rsid w:val="00C027F8"/>
    <w:rsid w:val="00C12E65"/>
    <w:rsid w:val="00C21C13"/>
    <w:rsid w:val="00CA76B7"/>
    <w:rsid w:val="00CB28D6"/>
    <w:rsid w:val="00CE7037"/>
    <w:rsid w:val="00D841CA"/>
    <w:rsid w:val="00DF5AA0"/>
    <w:rsid w:val="00E71363"/>
    <w:rsid w:val="00E90EA3"/>
    <w:rsid w:val="00E9129D"/>
    <w:rsid w:val="00EF7EE0"/>
    <w:rsid w:val="00F029E7"/>
    <w:rsid w:val="00F1141D"/>
    <w:rsid w:val="00F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363"/>
    <w:rPr>
      <w:color w:val="0000FF" w:themeColor="hyperlink"/>
      <w:u w:val="single"/>
    </w:rPr>
  </w:style>
  <w:style w:type="paragraph" w:customStyle="1" w:styleId="2">
    <w:name w:val="Знак2 Знак Знак Знак"/>
    <w:basedOn w:val="a"/>
    <w:autoRedefine/>
    <w:rsid w:val="0050338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A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363"/>
    <w:rPr>
      <w:color w:val="0000FF" w:themeColor="hyperlink"/>
      <w:u w:val="single"/>
    </w:rPr>
  </w:style>
  <w:style w:type="paragraph" w:customStyle="1" w:styleId="2">
    <w:name w:val="Знак2 Знак Знак Знак"/>
    <w:basedOn w:val="a"/>
    <w:autoRedefine/>
    <w:rsid w:val="0050338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A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Грищукова Ольга Александровна</dc:creator>
  <cp:lastModifiedBy>Суханова Екатерина Андреевна</cp:lastModifiedBy>
  <cp:revision>2</cp:revision>
  <cp:lastPrinted>2020-03-31T05:21:00Z</cp:lastPrinted>
  <dcterms:created xsi:type="dcterms:W3CDTF">2020-04-07T06:49:00Z</dcterms:created>
  <dcterms:modified xsi:type="dcterms:W3CDTF">2020-04-07T06:49:00Z</dcterms:modified>
</cp:coreProperties>
</file>