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C1" w:rsidRPr="005E1311" w:rsidRDefault="008F08C1" w:rsidP="005E1311">
      <w:pPr>
        <w:pStyle w:val="Heading1"/>
        <w:spacing w:after="335" w:afterAutospacing="0"/>
        <w:rPr>
          <w:rFonts w:ascii="Conv_PFDINTEXTCONDPRO-MEDIUM" w:hAnsi="Conv_PFDINTEXTCONDPRO-MEDIUM" w:cs="Arial"/>
          <w:b w:val="0"/>
          <w:bCs w:val="0"/>
          <w:color w:val="405965"/>
          <w:sz w:val="32"/>
          <w:szCs w:val="32"/>
        </w:rPr>
      </w:pPr>
      <w:r w:rsidRPr="005E1311">
        <w:rPr>
          <w:rFonts w:ascii="Conv_PFDINTEXTCONDPRO-MEDIUM" w:hAnsi="Conv_PFDINTEXTCONDPRO-MEDIUM" w:cs="Arial"/>
          <w:b w:val="0"/>
          <w:bCs w:val="0"/>
          <w:color w:val="405965"/>
          <w:sz w:val="32"/>
          <w:szCs w:val="32"/>
        </w:rPr>
        <w:t>Уплата налогов и пошлин через сервис выросла на 40%</w:t>
      </w:r>
    </w:p>
    <w:p w:rsidR="008F08C1" w:rsidRDefault="008F08C1" w:rsidP="005E131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Популярность онлайн-услуги «</w:t>
      </w:r>
      <w:hyperlink r:id="rId5" w:tgtFrame="_blank" w:history="1">
        <w:r>
          <w:rPr>
            <w:rStyle w:val="Hyperlink"/>
            <w:rFonts w:ascii="Arial" w:hAnsi="Arial" w:cs="Arial"/>
            <w:color w:val="0066B3"/>
            <w:sz w:val="27"/>
            <w:szCs w:val="27"/>
          </w:rPr>
          <w:t>Уплата налогов и пошлин</w:t>
        </w:r>
      </w:hyperlink>
      <w:r>
        <w:rPr>
          <w:rFonts w:ascii="Arial" w:hAnsi="Arial" w:cs="Arial"/>
          <w:color w:val="405965"/>
          <w:sz w:val="27"/>
          <w:szCs w:val="27"/>
        </w:rPr>
        <w:t>» выросла на 40% за последние четыре месяца. За это время 4,5 млн пользователей обратились к сервису после обновления и расширения его возможностей.</w:t>
      </w:r>
    </w:p>
    <w:p w:rsidR="008F08C1" w:rsidRDefault="008F08C1" w:rsidP="005E131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Разделы сервиса теперь ориентированы под конкретные категории налогоплательщиков и уплачиваемые ими налоги. Таким образом, пользователю не нужно долго искать нужную услугу в длинном списке. Кроме того, появилась возможность уплачивать налоги картой иностранного банка.</w:t>
      </w:r>
    </w:p>
    <w:p w:rsidR="008F08C1" w:rsidRDefault="008F08C1" w:rsidP="005E1311">
      <w:pPr>
        <w:pStyle w:val="NormalWeb"/>
        <w:shd w:val="clear" w:color="auto" w:fill="FFFFFF"/>
        <w:spacing w:after="335" w:afterAutospacing="0" w:line="375" w:lineRule="atLeast"/>
        <w:rPr>
          <w:rFonts w:ascii="Arial" w:hAnsi="Arial" w:cs="Arial"/>
          <w:color w:val="405965"/>
          <w:sz w:val="27"/>
          <w:szCs w:val="27"/>
        </w:rPr>
      </w:pPr>
      <w:r>
        <w:rPr>
          <w:rFonts w:ascii="Arial" w:hAnsi="Arial" w:cs="Arial"/>
          <w:color w:val="405965"/>
          <w:sz w:val="27"/>
          <w:szCs w:val="27"/>
        </w:rPr>
        <w:t>Также теперь налоги физических лиц можно платить буквально в один клик. Налогоплательщик авансом пополняет свой электронный кошелек в разделе «Уплата налогов, страховых взносов физических лиц», выбрав способ уплаты единым налоговым платежом. Когда придет сводное уведомление об уплате, необходимая сумма автоматически распределится на счета региональных и местных бюджетов. Таким образом, исключаются ошибки при оформлении платежек, а налогоплательщик может не переживать о том, чтобы заплатить налоги вовремя.</w:t>
      </w:r>
    </w:p>
    <w:p w:rsidR="008F08C1" w:rsidRPr="005E1311" w:rsidRDefault="008F08C1" w:rsidP="005E1311">
      <w:pPr>
        <w:rPr>
          <w:szCs w:val="27"/>
        </w:rPr>
      </w:pPr>
    </w:p>
    <w:sectPr w:rsidR="008F08C1" w:rsidRPr="005E1311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77C"/>
    <w:multiLevelType w:val="multilevel"/>
    <w:tmpl w:val="70F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2B75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0FB5"/>
    <w:rsid w:val="00323FFA"/>
    <w:rsid w:val="00324188"/>
    <w:rsid w:val="003254F5"/>
    <w:rsid w:val="00325E57"/>
    <w:rsid w:val="00331696"/>
    <w:rsid w:val="00335E0A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1311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08C1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B5326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76BDB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13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080911136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12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2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15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8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1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9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1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1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7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2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3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08091135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9113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7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8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8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3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9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5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31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1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30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8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2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080911312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9113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9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31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0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39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3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9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3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4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7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39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9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4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2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1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33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3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20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2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3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2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1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40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41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1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40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41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1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163</Words>
  <Characters>932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2020-02-19T07:30:00Z</dcterms:created>
  <dcterms:modified xsi:type="dcterms:W3CDTF">2020-02-19T07:30:00Z</dcterms:modified>
</cp:coreProperties>
</file>