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98" w:rsidRPr="003F5A98" w:rsidRDefault="003F5A98" w:rsidP="003F5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A98">
        <w:rPr>
          <w:rFonts w:ascii="Times New Roman" w:hAnsi="Times New Roman" w:cs="Times New Roman"/>
          <w:sz w:val="28"/>
          <w:szCs w:val="28"/>
        </w:rPr>
        <w:t>Комитет по финансам администрации</w:t>
      </w:r>
    </w:p>
    <w:p w:rsidR="003F5A98" w:rsidRPr="003F5A98" w:rsidRDefault="003F5A98" w:rsidP="003F5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A98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3F5A98"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 w:rsidRPr="003F5A9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F5A98" w:rsidRPr="003F5A98" w:rsidRDefault="003F5A98" w:rsidP="003F5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A9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3F5A98" w:rsidRPr="003F5A98" w:rsidRDefault="003F5A98" w:rsidP="003F5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A98" w:rsidRPr="003F5A98" w:rsidRDefault="003F5A98" w:rsidP="003F5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A98" w:rsidRPr="003F5A98" w:rsidRDefault="003F5A98" w:rsidP="003F5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A9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F5A98" w:rsidRPr="003F5A98" w:rsidRDefault="003F5A98" w:rsidP="003F5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A98" w:rsidRPr="003F5A98" w:rsidRDefault="003F5A98" w:rsidP="003F5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A98" w:rsidRPr="003F5A98" w:rsidRDefault="00F37839" w:rsidP="003F5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3F5A98" w:rsidRPr="003F5A98">
        <w:rPr>
          <w:rFonts w:ascii="Times New Roman" w:hAnsi="Times New Roman" w:cs="Times New Roman"/>
          <w:sz w:val="28"/>
          <w:szCs w:val="28"/>
        </w:rPr>
        <w:t>» января 2020 г.                                                                                    № 05-ОД</w:t>
      </w:r>
    </w:p>
    <w:p w:rsidR="003F5A98" w:rsidRPr="003F5A98" w:rsidRDefault="003F5A98" w:rsidP="003F5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A98" w:rsidRPr="003F5A98" w:rsidRDefault="003F5A98" w:rsidP="003F5A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A98" w:rsidRPr="003F5A98" w:rsidRDefault="003F5A98" w:rsidP="003F5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наделении полномочиями субъекта внутреннего финансового аудита и утверждении Порядка </w:t>
      </w:r>
      <w:proofErr w:type="gramStart"/>
      <w:r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финансам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Тунгиро-Олёкминский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финансового аудита</w:t>
      </w:r>
    </w:p>
    <w:p w:rsidR="003F5A98" w:rsidRPr="00240C41" w:rsidRDefault="003F5A98" w:rsidP="003F5A9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F5A98" w:rsidRPr="003F5A98" w:rsidRDefault="003F5A98" w:rsidP="003F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 статьи 160.2-1 Бюджетного кодекса Российской Федерации, </w:t>
      </w:r>
      <w:r w:rsidR="001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приказами Министерства финансов Российской Федерации </w:t>
      </w:r>
      <w:r w:rsidR="001E7FA4">
        <w:rPr>
          <w:rFonts w:ascii="Times New Roman" w:hAnsi="Times New Roman" w:cs="Times New Roman"/>
          <w:sz w:val="28"/>
          <w:szCs w:val="28"/>
        </w:rPr>
        <w:t>Об утверждении федеральных стандартов</w:t>
      </w:r>
      <w:r w:rsidR="001E7FA4" w:rsidRPr="001E7FA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1E7FA4">
        <w:rPr>
          <w:rFonts w:ascii="Times New Roman" w:hAnsi="Times New Roman" w:cs="Times New Roman"/>
          <w:sz w:val="28"/>
          <w:szCs w:val="28"/>
        </w:rPr>
        <w:t>,</w:t>
      </w:r>
      <w:r w:rsidR="001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Тунгиро-Олёкминский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7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</w:t>
      </w:r>
      <w:r w:rsidR="00147F74" w:rsidRPr="001E7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F5A98" w:rsidRPr="003F5A98" w:rsidRDefault="003F5A98" w:rsidP="003F5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Наделить полномочиями по осуществлению</w:t>
      </w:r>
      <w:r w:rsidR="0014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финансового аудита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финансам администрации</w:t>
      </w:r>
      <w:r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Тунгиро-Олёкминский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1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F74" w:rsidRPr="003F5A98" w:rsidRDefault="003F5A98" w:rsidP="0014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Утвердить Порядок осуществления </w:t>
      </w:r>
      <w:r w:rsidR="0014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финансового аудита комитет</w:t>
      </w:r>
      <w:r w:rsidR="001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4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финансам администрации</w:t>
      </w:r>
      <w:r w:rsidR="00147F74"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1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4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Тунгиро-Олёкминский</w:t>
      </w:r>
      <w:proofErr w:type="spellEnd"/>
      <w:r w:rsidR="0014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1E7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A98" w:rsidRPr="003F5A98" w:rsidRDefault="00147F74" w:rsidP="003F5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5A98"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F5A98" w:rsidRDefault="003F5A98" w:rsidP="003F5A98">
      <w:pPr>
        <w:pStyle w:val="OTRNormal"/>
        <w:ind w:firstLine="0"/>
        <w:rPr>
          <w:sz w:val="28"/>
          <w:szCs w:val="28"/>
        </w:rPr>
      </w:pPr>
    </w:p>
    <w:p w:rsidR="003F5A98" w:rsidRDefault="003F5A98" w:rsidP="003F5A98">
      <w:pPr>
        <w:pStyle w:val="OTRNormal"/>
        <w:ind w:firstLine="0"/>
        <w:rPr>
          <w:sz w:val="28"/>
          <w:szCs w:val="28"/>
        </w:rPr>
      </w:pPr>
    </w:p>
    <w:p w:rsidR="003F5A98" w:rsidRDefault="003F5A98" w:rsidP="003F5A98">
      <w:pPr>
        <w:pStyle w:val="OTRNormal"/>
        <w:ind w:firstLine="0"/>
        <w:rPr>
          <w:sz w:val="28"/>
          <w:szCs w:val="28"/>
        </w:rPr>
      </w:pPr>
    </w:p>
    <w:p w:rsidR="003F5A98" w:rsidRDefault="003F5A98" w:rsidP="003F5A98">
      <w:pPr>
        <w:pStyle w:val="OTRNormal"/>
        <w:ind w:firstLine="0"/>
        <w:rPr>
          <w:sz w:val="28"/>
          <w:szCs w:val="28"/>
        </w:rPr>
      </w:pPr>
    </w:p>
    <w:p w:rsidR="003F5A98" w:rsidRDefault="003F5A98" w:rsidP="003F5A98">
      <w:pPr>
        <w:pStyle w:val="OTRNormal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                                              Е.С. Ревякина</w:t>
      </w:r>
    </w:p>
    <w:p w:rsidR="003F5A98" w:rsidRPr="003F5A98" w:rsidRDefault="003F5A98" w:rsidP="003F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A98" w:rsidRDefault="003F5A98" w:rsidP="00583C93">
      <w:pPr>
        <w:spacing w:after="0" w:line="240" w:lineRule="auto"/>
        <w:ind w:left="1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F74" w:rsidRDefault="00147F74" w:rsidP="00583C93">
      <w:pPr>
        <w:spacing w:after="0" w:line="240" w:lineRule="auto"/>
        <w:ind w:left="1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F74" w:rsidRDefault="00147F74" w:rsidP="00583C93">
      <w:pPr>
        <w:spacing w:after="0" w:line="240" w:lineRule="auto"/>
        <w:ind w:left="1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F74" w:rsidRPr="003F5A98" w:rsidRDefault="00147F74" w:rsidP="00147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Pr="003F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3F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  </w:t>
      </w:r>
      <w:r w:rsidRPr="0014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комитета</w:t>
      </w:r>
      <w:proofErr w:type="gramEnd"/>
      <w:r w:rsidRPr="0014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финансам администрации муниципального района «</w:t>
      </w:r>
      <w:proofErr w:type="spellStart"/>
      <w:r w:rsidRPr="0014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Тунгиро-Олёкминский</w:t>
      </w:r>
      <w:proofErr w:type="spellEnd"/>
      <w:r w:rsidRPr="0014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</w:t>
      </w:r>
      <w:r w:rsidRPr="003F5A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внутреннего финансового аудита</w:t>
      </w:r>
    </w:p>
    <w:p w:rsidR="00147F74" w:rsidRDefault="00147F74" w:rsidP="00583C93">
      <w:pPr>
        <w:spacing w:after="0" w:line="240" w:lineRule="auto"/>
        <w:ind w:left="1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F74" w:rsidRDefault="00147F74" w:rsidP="00583C93">
      <w:pPr>
        <w:spacing w:after="0" w:line="240" w:lineRule="auto"/>
        <w:ind w:left="1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3B5" w:rsidRPr="00583C93" w:rsidRDefault="00583C93" w:rsidP="00583C93">
      <w:pPr>
        <w:spacing w:after="0" w:line="240" w:lineRule="auto"/>
        <w:ind w:left="1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623B5" w:rsidRPr="0046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83C93" w:rsidRPr="004623B5" w:rsidRDefault="00583C93" w:rsidP="00583C93">
      <w:pPr>
        <w:spacing w:after="0" w:line="240" w:lineRule="auto"/>
        <w:ind w:left="1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– администраторы бюджетных средств) при организации и осуществлении внутреннего финансового аудита.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(Приказ Министерства Финансов РФ №237н от 18.12.2019 года часть 2 пункт 9) (далее – федеральные стандарты), а также настоящим Порядком.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целях настоящего Порядка применяются термины в значениях, определенных федеральными стандартами.</w:t>
      </w:r>
    </w:p>
    <w:p w:rsidR="004623B5" w:rsidRDefault="004623B5" w:rsidP="0046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4623B5" w:rsidRPr="00583C93" w:rsidRDefault="004623B5" w:rsidP="00583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Составление плана аудиторских мероприятий</w:t>
      </w:r>
    </w:p>
    <w:p w:rsidR="00583C93" w:rsidRPr="00583C93" w:rsidRDefault="00583C93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3B5" w:rsidRPr="0017523E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проведения аудиторских мероприятий на очередной финансовый год в соответствии с требованиями федеральных стандартов составляет руководитель субъекта внутреннего финансового аудита, утверждает план проведения аудиторских мероприятий (далее – План) в ср</w:t>
      </w:r>
      <w:r w:rsidR="0053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до 31 декабря текущего года (Приложение №1)</w:t>
      </w:r>
    </w:p>
    <w:p w:rsidR="00303415" w:rsidRPr="0017523E" w:rsidRDefault="003F5A98" w:rsidP="0030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623B5"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03415"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составляется на основании риск- ориентированного подхода.</w:t>
      </w:r>
      <w:r w:rsidR="00402D34"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уровень по критерию степени влияния риска низкий или умеренный план на очередной финансовый год не составляется.</w:t>
      </w:r>
    </w:p>
    <w:p w:rsidR="004623B5" w:rsidRPr="0017523E" w:rsidRDefault="00402D34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</w:t>
      </w:r>
      <w:r w:rsidR="00303415"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тверждается р</w:t>
      </w:r>
      <w:r w:rsidR="004623B5"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 бюджетных рисков</w:t>
      </w:r>
      <w:r w:rsidR="00303415"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</w:t>
      </w:r>
      <w:r w:rsidR="004623B5"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в соответствии требованиями федеральных стандартов.</w:t>
      </w:r>
    </w:p>
    <w:p w:rsidR="004623B5" w:rsidRPr="00537B0F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оформляется </w:t>
      </w:r>
      <w:r w:rsidR="00402D34"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402D34"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приложением № </w:t>
      </w:r>
      <w:r w:rsidR="0053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3B5" w:rsidRPr="0017523E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623B5"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реестра бюджетных рисков обеспечивается субъектом внутреннего финансового аудита.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реестра бюджетных рисков осуществляется не реже одного раза в год.</w:t>
      </w:r>
    </w:p>
    <w:p w:rsidR="004623B5" w:rsidRPr="004623B5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Изменения в план аудиторских мероприятий на очередной финансовый год вносятся по предложениям руководителя субъекта внутреннего финансового </w:t>
      </w:r>
      <w:proofErr w:type="gramStart"/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аудита .</w:t>
      </w:r>
      <w:proofErr w:type="gramEnd"/>
    </w:p>
    <w:p w:rsidR="004623B5" w:rsidRPr="004623B5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Внеплановые аудиторские мероприятия проводятся на основании </w:t>
      </w:r>
      <w:r w:rsid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руководителя субъекта внутреннего финансового аудита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4623B5" w:rsidRPr="004623B5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проведения внепланового аудиторского мероприятия могут быть: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Тунгиро-Олёкминский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органов прокуратуры, правоохранительных органов; 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содержащаяся в обращениях органов местного самоуправления, граждан и юридических лиц;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содержащиеся в средствах массовой информации;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случаи, позволяющие полагать, что имеются основания для проведения аудиторских мероприятий.</w:t>
      </w:r>
    </w:p>
    <w:p w:rsidR="0017523E" w:rsidRDefault="0017523E" w:rsidP="0046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3B5" w:rsidRDefault="004623B5" w:rsidP="0046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62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организации внутреннего финансового аудита</w:t>
      </w:r>
    </w:p>
    <w:p w:rsidR="0017523E" w:rsidRPr="004623B5" w:rsidRDefault="0017523E" w:rsidP="0046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B5" w:rsidRPr="0017523E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наделяет лиц, которые несу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ответственность за результаты выполнения бюджетных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также, которые самостоятельно выполняю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действия, направленные на достижение целей осуществления внутреннего финансового аудита, в частности: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финансового контроля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аудита, направленных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аудита, направленных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507F6C" w:rsidRDefault="00507F6C" w:rsidP="0046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3B5" w:rsidRDefault="004623B5" w:rsidP="0046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Формирование и утверждение программы аудиторского мероприятия</w:t>
      </w:r>
    </w:p>
    <w:p w:rsidR="0017523E" w:rsidRPr="004623B5" w:rsidRDefault="0017523E" w:rsidP="0046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B5" w:rsidRPr="004623B5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субъекта внутреннего финансового ауди</w:t>
      </w:r>
      <w:r w:rsid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не позднее </w:t>
      </w:r>
      <w:r w:rsidR="00F4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до предполагаемой даты начала аудиторского мероприятия принимает решение о проведении планового аудиторского мероприятия.</w:t>
      </w:r>
    </w:p>
    <w:p w:rsidR="00507F6C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 субъекта внутреннего финансового аудита составляет в соответствии с требованиями федеральных стандартов про</w:t>
      </w:r>
      <w:r w:rsidR="00507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грамму аудиторского мероприятия.</w:t>
      </w:r>
    </w:p>
    <w:p w:rsidR="004623B5" w:rsidRPr="004623B5" w:rsidRDefault="004623B5" w:rsidP="00507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аудиторского мероприятия составляется после оформления </w:t>
      </w:r>
      <w:r w:rsidR="00402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="00F4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 </w:t>
      </w: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аудиторского мероприятия.</w:t>
      </w:r>
    </w:p>
    <w:p w:rsidR="0017523E" w:rsidRDefault="0017523E" w:rsidP="0046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3B5" w:rsidRDefault="004623B5" w:rsidP="0046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проведения аудиторского мероприятия</w:t>
      </w:r>
    </w:p>
    <w:p w:rsidR="0017523E" w:rsidRPr="004623B5" w:rsidRDefault="0017523E" w:rsidP="0046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B5" w:rsidRPr="004623B5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аудиторского мероприятия содержит информацию о сроках проведения аудиторского мероприятия.</w:t>
      </w:r>
    </w:p>
    <w:p w:rsidR="004623B5" w:rsidRPr="004623B5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проведения аудиторского </w:t>
      </w:r>
      <w:r w:rsid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может быть продлен </w:t>
      </w:r>
      <w:r w:rsidR="00507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субъекта внутреннего финансового контроля.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проведении аудиторского мероприятия, продлевается на срок не более чем на 30 рабочих дней. 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продлении срока проведения аудиторского мероприятия доводится не позднее дня окончания аудиторского мероприятия.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4623B5" w:rsidRPr="004623B5" w:rsidRDefault="004623B5" w:rsidP="004623B5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Результаты аудиторского мероприятия и их рассмотрение (реализация)</w:t>
      </w:r>
    </w:p>
    <w:p w:rsidR="004623B5" w:rsidRPr="004623B5" w:rsidRDefault="0017523E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аудиторского мероприятия оформляются заключением               в соответствии с требованиями федеральных стандартов внутреннего финансового аудита.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подписывается руководителем субъекта внутреннего финансового аудита.</w:t>
      </w:r>
    </w:p>
    <w:p w:rsidR="004623B5" w:rsidRPr="004623B5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4623B5" w:rsidRPr="004623B5" w:rsidRDefault="004623B5" w:rsidP="0017523E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направление проекта заключения и (или) окончательного варианта </w:t>
      </w:r>
      <w:proofErr w:type="gramStart"/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  подготовка</w:t>
      </w:r>
      <w:proofErr w:type="gramEnd"/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и возражений, рассмотрение возражений осуществляются в порядке, установленном федеральными стандартами.</w:t>
      </w:r>
    </w:p>
    <w:p w:rsidR="004623B5" w:rsidRPr="004623B5" w:rsidRDefault="004623B5" w:rsidP="0017523E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срок подготовки проекта заключения – не более 5 рабочих дней со дня окончания аудиторского мероприятия, срок подготовки окончательного варианта заключения – 10 рабочих </w:t>
      </w:r>
      <w:proofErr w:type="gramStart"/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.</w:t>
      </w:r>
      <w:proofErr w:type="gramEnd"/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4623B5" w:rsidRPr="004623B5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4623B5" w:rsidRPr="004623B5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решениях, принятых по результатам проведенных аудиторских мероприятий, в том числе о мерах по минимизации (устранению) 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 заключении, в случае отсутствия сроков – ежегодно в срок до 1 декабря. Указанная информация учитывается субъектом внутреннего финан</w:t>
      </w:r>
      <w:r w:rsid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сового аудита при планировании 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аудиторских мероприятий на очередной финансовый год.</w:t>
      </w:r>
    </w:p>
    <w:p w:rsidR="003F5A98" w:rsidRPr="003F5A98" w:rsidRDefault="003F5A98" w:rsidP="004623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F5A98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Руководителем  субъекта  внутреннего финансового аудита,  если иное не предусмотрено федеральными стандартами, не реже 1 раза в год обеспечивается проведение </w:t>
      </w:r>
      <w:bookmarkStart w:id="0" w:name="_GoBack"/>
      <w:r w:rsidRPr="003F5A98">
        <w:rPr>
          <w:rFonts w:ascii="Times New Roman" w:hAnsi="Times New Roman" w:cs="Times New Roman"/>
          <w:color w:val="000000"/>
          <w:sz w:val="28"/>
          <w:szCs w:val="28"/>
        </w:rPr>
        <w:t>мони</w:t>
      </w:r>
      <w:bookmarkEnd w:id="0"/>
      <w:r w:rsidRPr="003F5A98">
        <w:rPr>
          <w:rFonts w:ascii="Times New Roman" w:hAnsi="Times New Roman" w:cs="Times New Roman"/>
          <w:color w:val="000000"/>
          <w:sz w:val="28"/>
          <w:szCs w:val="28"/>
        </w:rPr>
        <w:t>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 По итогам проведённого мониторинга в срок до 20 декабря подготавливается справка.</w:t>
      </w:r>
    </w:p>
    <w:p w:rsidR="004623B5" w:rsidRPr="004623B5" w:rsidRDefault="003F5A98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Рабочая документация аудиторского мероприятия (приложение № </w:t>
      </w:r>
      <w:r w:rsidR="00F3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может вестись и храниться в электронном виде и (или) на бумажных носителях. 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17523E" w:rsidRDefault="0017523E" w:rsidP="004623B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3B5" w:rsidRDefault="004623B5" w:rsidP="004623B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7.Отчетность</w:t>
      </w:r>
    </w:p>
    <w:p w:rsidR="0017523E" w:rsidRPr="004623B5" w:rsidRDefault="0017523E" w:rsidP="004623B5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3B5" w:rsidRPr="004623B5" w:rsidRDefault="003F5A98" w:rsidP="004623B5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Годовая отчетность о результатах деятельности субъекта внутреннего финансового аудита, составленная в соответствии требованиями федеральных стандартов, подписывается руководителем субъекта внутреннего финансового аудита в срок до 15 февраля года, следующего за отчетным. </w:t>
      </w:r>
    </w:p>
    <w:p w:rsidR="0017523E" w:rsidRDefault="004623B5" w:rsidP="004623B5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Годовая отчетность, составленная в соответствии требованиями федеральных стандартов, в указанный срок представляется </w:t>
      </w:r>
      <w:r w:rsidR="0017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муниципального района</w:t>
      </w:r>
    </w:p>
    <w:p w:rsidR="004623B5" w:rsidRPr="004623B5" w:rsidRDefault="00507F6C" w:rsidP="004623B5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Тунгиро-Олёкминский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4623B5"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 </w:t>
      </w:r>
    </w:p>
    <w:p w:rsidR="004623B5" w:rsidRPr="004623B5" w:rsidRDefault="004623B5" w:rsidP="00462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4623B5" w:rsidRPr="004623B5" w:rsidRDefault="004623B5" w:rsidP="00462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A738C" w:rsidRDefault="00AA738C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738C" w:rsidSect="009925A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386" w:tblpY="-875"/>
        <w:tblW w:w="47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</w:tblGrid>
      <w:tr w:rsidR="00537B0F" w:rsidRPr="004623B5" w:rsidTr="00537B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0F" w:rsidRDefault="00537B0F" w:rsidP="0053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B0F" w:rsidRDefault="00537B0F" w:rsidP="0053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B0F" w:rsidRPr="004623B5" w:rsidRDefault="00537B0F" w:rsidP="0053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537B0F" w:rsidRPr="004623B5" w:rsidTr="00537B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0F" w:rsidRPr="004623B5" w:rsidRDefault="00537B0F" w:rsidP="0053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Порядку осуществления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комитете по финансам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Тунгиро-Олёкмиснкий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финансового аудита</w:t>
            </w:r>
          </w:p>
        </w:tc>
      </w:tr>
    </w:tbl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4623B5" w:rsidRPr="004623B5" w:rsidRDefault="004623B5" w:rsidP="00462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4623B5" w:rsidRPr="004623B5" w:rsidRDefault="004623B5" w:rsidP="0046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3B5" w:rsidRPr="004623B5" w:rsidRDefault="004623B5" w:rsidP="0046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23B5" w:rsidRPr="000316DD" w:rsidRDefault="004623B5" w:rsidP="004623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D" w:rsidRPr="000316DD" w:rsidRDefault="004623B5" w:rsidP="009925AD">
      <w:pPr>
        <w:jc w:val="center"/>
        <w:rPr>
          <w:rFonts w:ascii="Times New Roman" w:hAnsi="Times New Roman" w:cs="Times New Roman"/>
          <w:b/>
        </w:rPr>
      </w:pPr>
      <w:r w:rsidRPr="0003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25AD" w:rsidRPr="000316DD">
        <w:rPr>
          <w:rFonts w:ascii="Times New Roman" w:hAnsi="Times New Roman" w:cs="Times New Roman"/>
          <w:b/>
        </w:rPr>
        <w:t xml:space="preserve">П Л А Н    Р А Б О Т Ы </w:t>
      </w:r>
    </w:p>
    <w:p w:rsidR="009925AD" w:rsidRPr="000316DD" w:rsidRDefault="009925AD" w:rsidP="009925AD">
      <w:pPr>
        <w:jc w:val="center"/>
        <w:rPr>
          <w:rFonts w:ascii="Times New Roman" w:hAnsi="Times New Roman" w:cs="Times New Roman"/>
        </w:rPr>
      </w:pPr>
      <w:r w:rsidRPr="000316DD">
        <w:rPr>
          <w:rFonts w:ascii="Times New Roman" w:hAnsi="Times New Roman" w:cs="Times New Roman"/>
        </w:rPr>
        <w:t>Внутреннего финансового аудита на 20__ г.</w:t>
      </w:r>
    </w:p>
    <w:p w:rsidR="009925AD" w:rsidRPr="00937A66" w:rsidRDefault="009925AD" w:rsidP="009925AD">
      <w:pPr>
        <w:jc w:val="center"/>
      </w:pPr>
    </w:p>
    <w:tbl>
      <w:tblPr>
        <w:tblW w:w="15593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977"/>
        <w:gridCol w:w="2438"/>
        <w:gridCol w:w="2523"/>
        <w:gridCol w:w="2268"/>
      </w:tblGrid>
      <w:tr w:rsidR="009925AD" w:rsidRPr="000316DD" w:rsidTr="000316DD">
        <w:tc>
          <w:tcPr>
            <w:tcW w:w="15593" w:type="dxa"/>
            <w:gridSpan w:val="6"/>
            <w:shd w:val="clear" w:color="auto" w:fill="auto"/>
          </w:tcPr>
          <w:p w:rsidR="009925AD" w:rsidRPr="000316DD" w:rsidRDefault="009925AD" w:rsidP="00CB5FF8">
            <w:pPr>
              <w:jc w:val="center"/>
              <w:rPr>
                <w:sz w:val="16"/>
                <w:szCs w:val="16"/>
              </w:rPr>
            </w:pPr>
            <w:r w:rsidRPr="000316DD">
              <w:rPr>
                <w:rFonts w:cs="Arial"/>
                <w:sz w:val="16"/>
                <w:szCs w:val="16"/>
              </w:rPr>
              <w:t>По осуществлению контроля, предусмотренного частью 8 статьи 99 Закона № 44-ФЗ</w:t>
            </w:r>
          </w:p>
        </w:tc>
      </w:tr>
      <w:tr w:rsidR="009925AD" w:rsidRPr="000316DD" w:rsidTr="000316DD">
        <w:tc>
          <w:tcPr>
            <w:tcW w:w="567" w:type="dxa"/>
            <w:shd w:val="clear" w:color="auto" w:fill="auto"/>
          </w:tcPr>
          <w:p w:rsidR="009925AD" w:rsidRPr="000316DD" w:rsidRDefault="009925AD" w:rsidP="00CB5FF8">
            <w:pPr>
              <w:jc w:val="center"/>
              <w:rPr>
                <w:sz w:val="16"/>
                <w:szCs w:val="16"/>
              </w:rPr>
            </w:pPr>
            <w:r w:rsidRPr="000316DD">
              <w:rPr>
                <w:sz w:val="16"/>
                <w:szCs w:val="16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9925AD" w:rsidRPr="000316DD" w:rsidRDefault="009925AD" w:rsidP="00CB5FF8">
            <w:pPr>
              <w:jc w:val="center"/>
              <w:rPr>
                <w:sz w:val="16"/>
                <w:szCs w:val="16"/>
              </w:rPr>
            </w:pPr>
            <w:r w:rsidRPr="000316DD">
              <w:rPr>
                <w:sz w:val="16"/>
                <w:szCs w:val="16"/>
              </w:rPr>
              <w:t>Наименование субъекта контроля</w:t>
            </w:r>
          </w:p>
        </w:tc>
        <w:tc>
          <w:tcPr>
            <w:tcW w:w="2977" w:type="dxa"/>
          </w:tcPr>
          <w:p w:rsidR="009925AD" w:rsidRPr="000316DD" w:rsidRDefault="009925AD" w:rsidP="00CB5FF8">
            <w:pPr>
              <w:jc w:val="center"/>
              <w:rPr>
                <w:sz w:val="16"/>
                <w:szCs w:val="16"/>
              </w:rPr>
            </w:pPr>
            <w:r w:rsidRPr="000316DD">
              <w:rPr>
                <w:sz w:val="16"/>
                <w:szCs w:val="16"/>
              </w:rPr>
              <w:t>ИНН налогоплательщика, юридический адрес</w:t>
            </w:r>
          </w:p>
        </w:tc>
        <w:tc>
          <w:tcPr>
            <w:tcW w:w="2438" w:type="dxa"/>
            <w:shd w:val="clear" w:color="auto" w:fill="auto"/>
          </w:tcPr>
          <w:p w:rsidR="009925AD" w:rsidRPr="000316DD" w:rsidRDefault="009925AD" w:rsidP="00CB5FF8">
            <w:pPr>
              <w:jc w:val="center"/>
              <w:rPr>
                <w:sz w:val="16"/>
                <w:szCs w:val="16"/>
              </w:rPr>
            </w:pPr>
            <w:r w:rsidRPr="000316DD">
              <w:rPr>
                <w:sz w:val="16"/>
                <w:szCs w:val="16"/>
              </w:rPr>
              <w:t>Тема аудиторской проверки</w:t>
            </w:r>
          </w:p>
        </w:tc>
        <w:tc>
          <w:tcPr>
            <w:tcW w:w="2523" w:type="dxa"/>
            <w:shd w:val="clear" w:color="auto" w:fill="auto"/>
          </w:tcPr>
          <w:p w:rsidR="009925AD" w:rsidRPr="000316DD" w:rsidRDefault="009925AD" w:rsidP="00CB5FF8">
            <w:pPr>
              <w:jc w:val="center"/>
              <w:rPr>
                <w:sz w:val="16"/>
                <w:szCs w:val="16"/>
              </w:rPr>
            </w:pPr>
            <w:r w:rsidRPr="000316DD">
              <w:rPr>
                <w:sz w:val="16"/>
                <w:szCs w:val="16"/>
              </w:rPr>
              <w:t>Проверяемый период</w:t>
            </w:r>
          </w:p>
        </w:tc>
        <w:tc>
          <w:tcPr>
            <w:tcW w:w="2268" w:type="dxa"/>
            <w:shd w:val="clear" w:color="auto" w:fill="auto"/>
          </w:tcPr>
          <w:p w:rsidR="009925AD" w:rsidRPr="000316DD" w:rsidRDefault="009925AD" w:rsidP="00CB5FF8">
            <w:pPr>
              <w:jc w:val="center"/>
              <w:rPr>
                <w:sz w:val="16"/>
                <w:szCs w:val="16"/>
              </w:rPr>
            </w:pPr>
            <w:r w:rsidRPr="000316DD">
              <w:rPr>
                <w:sz w:val="16"/>
                <w:szCs w:val="16"/>
              </w:rPr>
              <w:t>Месяц начала проведения контрольного мероприятия</w:t>
            </w:r>
          </w:p>
        </w:tc>
      </w:tr>
      <w:tr w:rsidR="009925AD" w:rsidRPr="000316DD" w:rsidTr="000316DD">
        <w:trPr>
          <w:trHeight w:val="1781"/>
        </w:trPr>
        <w:tc>
          <w:tcPr>
            <w:tcW w:w="567" w:type="dxa"/>
            <w:shd w:val="clear" w:color="auto" w:fill="auto"/>
          </w:tcPr>
          <w:p w:rsidR="009925AD" w:rsidRPr="000316DD" w:rsidRDefault="009925AD" w:rsidP="00CB5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9925AD" w:rsidRPr="000316DD" w:rsidRDefault="009925AD" w:rsidP="00CB5F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925AD" w:rsidRPr="000316DD" w:rsidRDefault="009925AD" w:rsidP="00CB5F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8" w:type="dxa"/>
            <w:shd w:val="clear" w:color="auto" w:fill="auto"/>
          </w:tcPr>
          <w:p w:rsidR="009925AD" w:rsidRPr="000316DD" w:rsidRDefault="009925AD" w:rsidP="00CB5FF8">
            <w:pPr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9925AD" w:rsidRPr="000316DD" w:rsidRDefault="009925AD" w:rsidP="00CB5F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9925AD" w:rsidRPr="000316DD" w:rsidRDefault="009925AD" w:rsidP="00CB5F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25AD" w:rsidRPr="00937A66" w:rsidRDefault="009925AD" w:rsidP="009925AD">
      <w:pPr>
        <w:jc w:val="center"/>
      </w:pPr>
    </w:p>
    <w:p w:rsidR="009925AD" w:rsidRDefault="009925AD" w:rsidP="0017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38C" w:rsidRDefault="00AA738C" w:rsidP="0017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738C" w:rsidSect="00AA738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7051" w:tblpY="-802"/>
        <w:tblW w:w="47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</w:tblGrid>
      <w:tr w:rsidR="00537B0F" w:rsidRPr="004623B5" w:rsidTr="00537B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0F" w:rsidRDefault="00537B0F" w:rsidP="00031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B0F" w:rsidRDefault="00537B0F" w:rsidP="0053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7B0F" w:rsidRPr="004623B5" w:rsidRDefault="00537B0F" w:rsidP="0053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№3</w:t>
            </w:r>
          </w:p>
        </w:tc>
      </w:tr>
      <w:tr w:rsidR="00537B0F" w:rsidRPr="004623B5" w:rsidTr="00537B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0F" w:rsidRPr="004623B5" w:rsidRDefault="00537B0F" w:rsidP="00537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Порядку осуществления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комитете по финансам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Тунгиро-Олёкмиснкий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финансового аудита</w:t>
            </w:r>
          </w:p>
        </w:tc>
      </w:tr>
    </w:tbl>
    <w:p w:rsidR="009925AD" w:rsidRDefault="009925AD" w:rsidP="0017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D" w:rsidRDefault="009925AD" w:rsidP="0017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D" w:rsidRDefault="009925AD" w:rsidP="0017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D" w:rsidRDefault="009925AD" w:rsidP="0017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D" w:rsidRDefault="009925AD" w:rsidP="0017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D" w:rsidRDefault="009925AD" w:rsidP="0017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D" w:rsidRDefault="009925AD" w:rsidP="0017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D" w:rsidRDefault="009925AD" w:rsidP="0017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D" w:rsidRDefault="009925AD" w:rsidP="0017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5AD" w:rsidRPr="004623B5" w:rsidRDefault="000316DD" w:rsidP="000316D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992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5AD" w:rsidRPr="0046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внутреннего финансового аудита</w:t>
      </w:r>
    </w:p>
    <w:p w:rsidR="009925AD" w:rsidRPr="004623B5" w:rsidRDefault="009925AD" w:rsidP="009925A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9925AD" w:rsidRPr="004623B5" w:rsidRDefault="009925AD" w:rsidP="00992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аудиторской группы </w:t>
      </w:r>
    </w:p>
    <w:p w:rsidR="009925AD" w:rsidRPr="004623B5" w:rsidRDefault="009925AD" w:rsidP="00992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(уполномоченное должностное лицо)</w:t>
      </w:r>
    </w:p>
    <w:p w:rsidR="009925AD" w:rsidRPr="004623B5" w:rsidRDefault="009925AD" w:rsidP="00992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25AD" w:rsidRPr="004623B5" w:rsidRDefault="009925AD" w:rsidP="00992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9925AD" w:rsidRPr="004623B5" w:rsidRDefault="009925AD" w:rsidP="009925A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ДОКУМЕНТАЦИЯ</w:t>
      </w:r>
      <w:r w:rsidRPr="004623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№_______</w:t>
      </w:r>
    </w:p>
    <w:p w:rsidR="009925AD" w:rsidRPr="004623B5" w:rsidRDefault="009925AD" w:rsidP="009925A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925AD" w:rsidRPr="004623B5" w:rsidRDefault="009925AD" w:rsidP="00992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9925AD" w:rsidRPr="004623B5" w:rsidRDefault="009925AD" w:rsidP="00992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аудиторского мероприятия</w:t>
      </w:r>
    </w:p>
    <w:p w:rsidR="009925AD" w:rsidRPr="004623B5" w:rsidRDefault="009925AD" w:rsidP="00992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5AD" w:rsidRPr="004623B5" w:rsidRDefault="009925AD" w:rsidP="00992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1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7973"/>
        <w:gridCol w:w="1843"/>
      </w:tblGrid>
      <w:tr w:rsidR="009925AD" w:rsidRPr="004623B5" w:rsidTr="00CB5FF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Страница</w:t>
            </w:r>
          </w:p>
        </w:tc>
      </w:tr>
      <w:tr w:rsidR="009925AD" w:rsidRPr="004623B5" w:rsidTr="00CB5FF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25AD" w:rsidRPr="004623B5" w:rsidTr="00CB5FF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25AD" w:rsidRPr="004623B5" w:rsidTr="00CB5FF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25AD" w:rsidRPr="004623B5" w:rsidTr="00CB5FF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25AD" w:rsidRPr="004623B5" w:rsidTr="00CB5FF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субъекта внутреннего финансового аудита по составлению плана мероприятий по устранению выявленных нарушений и </w:t>
            </w:r>
            <w:proofErr w:type="gramStart"/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недостатков</w:t>
            </w:r>
            <w:proofErr w:type="gramEnd"/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925AD" w:rsidRPr="004623B5" w:rsidTr="00CB5FF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мониторинга выполнения планов мероприятий по устранению выявленных нарушений и </w:t>
            </w:r>
            <w:proofErr w:type="gramStart"/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недостатков</w:t>
            </w:r>
            <w:proofErr w:type="gramEnd"/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5AD" w:rsidRPr="004623B5" w:rsidRDefault="009925AD" w:rsidP="00CB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623B5" w:rsidRPr="009925AD" w:rsidRDefault="004623B5" w:rsidP="009925AD">
      <w:pPr>
        <w:tabs>
          <w:tab w:val="left" w:pos="6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23B5" w:rsidRPr="009925AD" w:rsidSect="00AA738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F048B"/>
    <w:multiLevelType w:val="multilevel"/>
    <w:tmpl w:val="F51C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129"/>
    <w:multiLevelType w:val="multilevel"/>
    <w:tmpl w:val="217E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B5"/>
    <w:rsid w:val="000316DD"/>
    <w:rsid w:val="00147F74"/>
    <w:rsid w:val="0017523E"/>
    <w:rsid w:val="001E7FA4"/>
    <w:rsid w:val="00303415"/>
    <w:rsid w:val="00341F22"/>
    <w:rsid w:val="003F5A98"/>
    <w:rsid w:val="00402D34"/>
    <w:rsid w:val="004623B5"/>
    <w:rsid w:val="00496436"/>
    <w:rsid w:val="00507F6C"/>
    <w:rsid w:val="00537B0F"/>
    <w:rsid w:val="00583C93"/>
    <w:rsid w:val="007A62B3"/>
    <w:rsid w:val="007C592F"/>
    <w:rsid w:val="00817E94"/>
    <w:rsid w:val="009925AD"/>
    <w:rsid w:val="00AA738C"/>
    <w:rsid w:val="00F37839"/>
    <w:rsid w:val="00F43B97"/>
    <w:rsid w:val="00F4675E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B5369-502C-49B4-A622-5456144E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23B5"/>
    <w:rPr>
      <w:color w:val="0000FF"/>
      <w:u w:val="single"/>
    </w:rPr>
  </w:style>
  <w:style w:type="character" w:customStyle="1" w:styleId="ya-share-blocktext">
    <w:name w:val="ya-share-block__text"/>
    <w:basedOn w:val="a0"/>
    <w:rsid w:val="004623B5"/>
  </w:style>
  <w:style w:type="character" w:customStyle="1" w:styleId="copyrighttitle">
    <w:name w:val="copyright__title"/>
    <w:basedOn w:val="a0"/>
    <w:rsid w:val="004623B5"/>
  </w:style>
  <w:style w:type="paragraph" w:customStyle="1" w:styleId="producetext">
    <w:name w:val="produce__text"/>
    <w:basedOn w:val="a"/>
    <w:rsid w:val="0046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RNormal">
    <w:name w:val="OTR_Normal"/>
    <w:basedOn w:val="a"/>
    <w:link w:val="OTRNormal0"/>
    <w:rsid w:val="003F5A98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OTRNormal0">
    <w:name w:val="OTR_Normal Знак"/>
    <w:link w:val="OTRNormal"/>
    <w:rsid w:val="003F5A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6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  <w:div w:id="194225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0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2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8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4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1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5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3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TMNT</dc:creator>
  <cp:keywords/>
  <dc:description/>
  <cp:lastModifiedBy>TMNT</cp:lastModifiedBy>
  <cp:revision>4</cp:revision>
  <cp:lastPrinted>2020-04-06T06:08:00Z</cp:lastPrinted>
  <dcterms:created xsi:type="dcterms:W3CDTF">2020-04-06T03:58:00Z</dcterms:created>
  <dcterms:modified xsi:type="dcterms:W3CDTF">2020-04-06T06:09:00Z</dcterms:modified>
</cp:coreProperties>
</file>